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D3" w:rsidRDefault="008B6ED3" w:rsidP="008B6ED3">
      <w:r>
        <w:t>Case Study Analysis: Gender Identity in a Religious Community</w:t>
      </w:r>
    </w:p>
    <w:p w:rsidR="008B6ED3" w:rsidRDefault="008B6ED3" w:rsidP="008B6ED3">
      <w:r>
        <w:t xml:space="preserve">            The Lesbian, Gay, Bi-sexual, and Transgender (LGBT) community and religion have always been at odds with one another in most societies.  Except for a few inclusive denominations, most religious doctrines identify the LGBT lifestyle to be in direct conflict with their teachings.  While, the LGBT community just wants to be treated with the same respect as anyone else.  In many schools today, students, parents, and educators are struggling to make educational decisions that are equitable and respectful to both points of view.  In the case scenario (Laureate Education, 2015g) of “Billy’s Two Moms,” Billy is a student that is seen as strange, or as a “deviant,” by parents and students because of his parent’s lifestyle and non-traditional wardrobe choices.  Billy and his parents recognize that they live differently than most of the socially conservative people in their community, but do not feel as though that is a reason to deprive or alienate him from interacting in the educational activities that the rest of his classmates are allowed.  By observing other case studies, teachers faced with similar situations may understand how to make better choices that create a respectful, equitable</w:t>
      </w:r>
      <w:r>
        <w:t xml:space="preserve"> classroom environment for all.</w:t>
      </w:r>
    </w:p>
    <w:p w:rsidR="008B6ED3" w:rsidRDefault="008B6ED3" w:rsidP="008B6ED3">
      <w:r>
        <w:t xml:space="preserve">            In Case 4.1: The Winter Party (</w:t>
      </w:r>
      <w:proofErr w:type="spellStart"/>
      <w:r>
        <w:t>Gorski</w:t>
      </w:r>
      <w:proofErr w:type="spellEnd"/>
      <w:r>
        <w:t xml:space="preserve">, </w:t>
      </w:r>
      <w:proofErr w:type="spellStart"/>
      <w:r>
        <w:t>Pothimi</w:t>
      </w:r>
      <w:proofErr w:type="spellEnd"/>
      <w:r>
        <w:t xml:space="preserve">, 2014), a group of parents are given the task of organizing a winter party for a group of third grade classes.  Once the discussion begins, it is quite apparent that the majority of the parents want to plan activities that have a “Christmas Holiday” theme.  As with Billy’s case, the majority of the parent’s personal religious views are dictating how activities in the school will be organized.  There is little or no consideration for students who practice religions that do not celebrate Christmas.  This can make students of other religions feel left out or unwelcome.  I wonder how parents and students would react to Billy’s parents attending this </w:t>
      </w:r>
      <w:proofErr w:type="gramStart"/>
      <w:r>
        <w:t>meeting?</w:t>
      </w:r>
      <w:proofErr w:type="gramEnd"/>
      <w:r>
        <w:t xml:space="preserve">  How would the teachers handle the possible te</w:t>
      </w:r>
      <w:r>
        <w:t>nse situation that might arise?</w:t>
      </w:r>
    </w:p>
    <w:p w:rsidR="008B6ED3" w:rsidRDefault="008B6ED3" w:rsidP="008B6ED3">
      <w:r>
        <w:t xml:space="preserve">            In Case 7.3: Timmy’s Gender Nonconformity (</w:t>
      </w:r>
      <w:proofErr w:type="spellStart"/>
      <w:r>
        <w:t>Gorski</w:t>
      </w:r>
      <w:proofErr w:type="spellEnd"/>
      <w:r>
        <w:t xml:space="preserve">, </w:t>
      </w:r>
      <w:proofErr w:type="spellStart"/>
      <w:r>
        <w:t>Pothimi</w:t>
      </w:r>
      <w:proofErr w:type="spellEnd"/>
      <w:r>
        <w:t>, 2014), we see students teasing, bullying, and ostracizing Timmy for not practicing stereotypical “boy” characteristics.  In this case, we see students forcing their views about gender, male or female, on to others.  Teachers recognize Timmy’s differences as early as kindergarten, but feel as though they cannot do anything to protect him.  In both Timmy and Billy’s cases, the teachers feel as though they have been put in the middle of this social argument.  Student’s prejudices about gender are the same here as the prejudices the religious community shows toward Billy and his fami</w:t>
      </w:r>
      <w:r>
        <w:t>ly.  What is the teacher to do?</w:t>
      </w:r>
    </w:p>
    <w:p w:rsidR="008B6ED3" w:rsidRDefault="008B6ED3" w:rsidP="008B6ED3">
      <w:r>
        <w:t xml:space="preserve">            To takes sides would make one group feel empowered and the other an outcast.  To do nothing makes the teacher complicit in the policing of social stereotypes.  The teacher needs to take a stand for all his or her students.  According to Rowley (1999), the school district, school administrators, and even the teacher could be held liable in civil court for violating specific protections given to students based on gender, race, and disability.  It would have been very easy for the teacher to say, rather loudly, “Timmy, I think your nail looks wonderful.”  In that moment, Timmy could feel that the teacher supported him in his choices, and indirectly addressed the class that they were wrong for judging Timmy.  I have read about activities where teachers use eye color to show how discrimination and prejudice exist in our society.  Providing opportunities such as these would give students a chance to learn how to be more </w:t>
      </w:r>
      <w:r>
        <w:lastRenderedPageBreak/>
        <w:t xml:space="preserve">tolerant of other’s differences.  Ultimately, the teacher must lead by </w:t>
      </w:r>
      <w:proofErr w:type="gramStart"/>
      <w:r>
        <w:t>example,</w:t>
      </w:r>
      <w:proofErr w:type="gramEnd"/>
      <w:r>
        <w:t xml:space="preserve"> and respect and celebrate the diversity that they have been given in their classrooms.</w:t>
      </w:r>
    </w:p>
    <w:p w:rsidR="008B6ED3" w:rsidRDefault="008B6ED3" w:rsidP="008B6ED3"/>
    <w:p w:rsidR="008B6ED3" w:rsidRDefault="008B6ED3" w:rsidP="008B6ED3">
      <w:r>
        <w:t xml:space="preserve"> </w:t>
      </w:r>
    </w:p>
    <w:p w:rsidR="008B6ED3" w:rsidRDefault="008B6ED3" w:rsidP="008B6ED3"/>
    <w:p w:rsidR="008B6ED3" w:rsidRDefault="008B6ED3" w:rsidP="008B6ED3">
      <w:r>
        <w:t xml:space="preserve"> </w:t>
      </w:r>
    </w:p>
    <w:p w:rsidR="008B6ED3" w:rsidRDefault="008B6ED3" w:rsidP="008B6ED3">
      <w:r>
        <w:t>References</w:t>
      </w:r>
    </w:p>
    <w:p w:rsidR="008B6ED3" w:rsidRDefault="008B6ED3" w:rsidP="008B6ED3">
      <w:proofErr w:type="spellStart"/>
      <w:r>
        <w:t>Gorski</w:t>
      </w:r>
      <w:proofErr w:type="spellEnd"/>
      <w:r>
        <w:t xml:space="preserve">, P. C., &amp; </w:t>
      </w:r>
      <w:proofErr w:type="spellStart"/>
      <w:r>
        <w:t>Pothimi</w:t>
      </w:r>
      <w:proofErr w:type="spellEnd"/>
      <w:r>
        <w:t xml:space="preserve">, S. (2014). Case studies on diversity and social justice education. New York,                 NY: </w:t>
      </w:r>
      <w:proofErr w:type="spellStart"/>
      <w:r>
        <w:t>Routledge</w:t>
      </w:r>
      <w:proofErr w:type="spellEnd"/>
      <w:r>
        <w:t>.</w:t>
      </w:r>
    </w:p>
    <w:p w:rsidR="008B6ED3" w:rsidRDefault="008B6ED3" w:rsidP="008B6ED3">
      <w:proofErr w:type="gramStart"/>
      <w:r>
        <w:t>Laureate Education (Producer).</w:t>
      </w:r>
      <w:proofErr w:type="gramEnd"/>
      <w:r>
        <w:t xml:space="preserve"> </w:t>
      </w:r>
      <w:proofErr w:type="gramStart"/>
      <w:r>
        <w:t>(2015g). Gender ide</w:t>
      </w:r>
      <w:bookmarkStart w:id="0" w:name="_GoBack"/>
      <w:bookmarkEnd w:id="0"/>
      <w:r>
        <w:t>ntity in a religious community [Multimedia             file].</w:t>
      </w:r>
      <w:proofErr w:type="gramEnd"/>
      <w:r>
        <w:t xml:space="preserve"> Baltimore, MD: Author.</w:t>
      </w:r>
    </w:p>
    <w:p w:rsidR="00D15C11" w:rsidRDefault="008B6ED3" w:rsidP="008B6ED3">
      <w:r>
        <w:t xml:space="preserve">Rowley, G.M. (1999). </w:t>
      </w:r>
      <w:proofErr w:type="gramStart"/>
      <w:r>
        <w:t>Liability for student-to-student sexual harassment under Title IX in                 light of Davis v. Monroe county board of education.</w:t>
      </w:r>
      <w:proofErr w:type="gramEnd"/>
      <w:r>
        <w:t xml:space="preserve">  </w:t>
      </w:r>
      <w:proofErr w:type="gramStart"/>
      <w:r>
        <w:t>Brigham Young University                         Education and Law Journal, (1), 137.</w:t>
      </w:r>
      <w:proofErr w:type="gramEnd"/>
    </w:p>
    <w:sectPr w:rsidR="00D1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ED3"/>
    <w:rsid w:val="008B6ED3"/>
    <w:rsid w:val="00D1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BBVA Compass</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 Deuntra</dc:creator>
  <cp:lastModifiedBy>Steele, Deuntra</cp:lastModifiedBy>
  <cp:revision>1</cp:revision>
  <dcterms:created xsi:type="dcterms:W3CDTF">2017-04-18T23:57:00Z</dcterms:created>
  <dcterms:modified xsi:type="dcterms:W3CDTF">2017-04-18T23:59:00Z</dcterms:modified>
</cp:coreProperties>
</file>